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CE" w:rsidRPr="00166A1B" w:rsidRDefault="004949CE" w:rsidP="00166A1B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 RAN WG1 #85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166A1B" w:rsidRPr="00166A1B">
        <w:rPr>
          <w:rFonts w:ascii="Arial" w:hAnsi="Arial" w:cs="Arial" w:hint="eastAsia"/>
          <w:b/>
          <w:i/>
          <w:sz w:val="24"/>
          <w:lang w:val="en-US" w:eastAsia="ko-KR"/>
        </w:rPr>
        <w:t>4</w:t>
      </w:r>
      <w:r w:rsidR="00E27DD8">
        <w:rPr>
          <w:rFonts w:ascii="Arial" w:hAnsi="Arial" w:cs="Arial" w:hint="eastAsia"/>
          <w:b/>
          <w:i/>
          <w:sz w:val="24"/>
          <w:lang w:val="en-US" w:eastAsia="ko-KR"/>
        </w:rPr>
        <w:t>803</w:t>
      </w:r>
    </w:p>
    <w:p w:rsidR="004949CE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  <w:r w:rsidRPr="00166A1B">
        <w:rPr>
          <w:rFonts w:ascii="Arial" w:eastAsia="Malgun Gothic" w:hAnsi="Arial" w:cs="Arial"/>
          <w:b/>
          <w:sz w:val="24"/>
          <w:szCs w:val="20"/>
        </w:rPr>
        <w:t>Nanjing, China 23rd - 27th May 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eastAsia="Malgun Gothic" w:hAnsi="Arial" w:cs="Arial" w:hint="eastAsia"/>
          <w:sz w:val="24"/>
          <w:szCs w:val="20"/>
        </w:rPr>
        <w:t>7.</w:t>
      </w:r>
      <w:r w:rsidR="005A63CD">
        <w:rPr>
          <w:rFonts w:ascii="Arial" w:eastAsia="Malgun Gothic" w:hAnsi="Arial" w:cs="Arial" w:hint="eastAsia"/>
          <w:sz w:val="24"/>
          <w:szCs w:val="20"/>
        </w:rPr>
        <w:t>2.5.</w:t>
      </w:r>
      <w:r w:rsidR="00E27DD8">
        <w:rPr>
          <w:rFonts w:ascii="Arial" w:eastAsia="Malgun Gothic" w:hAnsi="Arial" w:cs="Arial" w:hint="eastAsia"/>
          <w:sz w:val="24"/>
          <w:szCs w:val="20"/>
        </w:rPr>
        <w:t>2</w:t>
      </w:r>
      <w:r w:rsidRPr="00166A1B">
        <w:rPr>
          <w:rFonts w:ascii="Arial" w:eastAsia="Malgun Gothic" w:hAnsi="Arial" w:cs="Arial"/>
          <w:sz w:val="24"/>
          <w:szCs w:val="20"/>
        </w:rPr>
        <w:t xml:space="preserve">  </w:t>
      </w:r>
    </w:p>
    <w:p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  <w:r w:rsidR="001A71FC">
        <w:rPr>
          <w:rFonts w:ascii="Arial" w:eastAsia="Malgun Gothic" w:hAnsi="Arial" w:cs="Arial" w:hint="eastAsia"/>
          <w:sz w:val="24"/>
          <w:szCs w:val="20"/>
        </w:rPr>
        <w:t>, Nokia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5A63CD" w:rsidRPr="005A63CD">
        <w:rPr>
          <w:rFonts w:ascii="Arial" w:hAnsi="Arial" w:cs="Arial"/>
          <w:sz w:val="24"/>
          <w:szCs w:val="20"/>
        </w:rPr>
        <w:t xml:space="preserve">E-mail discussion summary of the </w:t>
      </w:r>
      <w:r w:rsidR="00E27DD8">
        <w:rPr>
          <w:rFonts w:ascii="Arial" w:eastAsia="Malgun Gothic" w:hAnsi="Arial" w:cs="Arial" w:hint="eastAsia"/>
          <w:sz w:val="24"/>
          <w:szCs w:val="20"/>
        </w:rPr>
        <w:t>full</w:t>
      </w:r>
      <w:r w:rsidR="005A63CD" w:rsidRPr="005A63CD">
        <w:rPr>
          <w:rFonts w:ascii="Arial" w:hAnsi="Arial" w:cs="Arial"/>
          <w:sz w:val="24"/>
          <w:szCs w:val="20"/>
        </w:rPr>
        <w:t xml:space="preserve"> scale calibration</w:t>
      </w:r>
    </w:p>
    <w:p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955794">
        <w:rPr>
          <w:rFonts w:ascii="Arial" w:eastAsia="Malgun Gothic" w:hAnsi="Arial" w:cs="Arial" w:hint="eastAsia"/>
          <w:sz w:val="24"/>
          <w:szCs w:val="20"/>
        </w:rPr>
        <w:t xml:space="preserve"> &amp; Decision</w:t>
      </w:r>
    </w:p>
    <w:p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:rsidR="005A63CD" w:rsidRDefault="005A63CD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From the e-mail discussion of </w:t>
      </w:r>
      <w:r>
        <w:rPr>
          <w:rFonts w:ascii="Times New Roman" w:eastAsia="Malgun Gothic" w:hAnsi="Times New Roman" w:cs="Times New Roman"/>
        </w:rPr>
        <w:t>[84b-1</w:t>
      </w:r>
      <w:r w:rsidR="00E27DD8">
        <w:rPr>
          <w:rFonts w:ascii="Times New Roman" w:eastAsia="Malgun Gothic" w:hAnsi="Times New Roman" w:cs="Times New Roman" w:hint="eastAsia"/>
        </w:rPr>
        <w:t>7</w:t>
      </w:r>
      <w:r>
        <w:rPr>
          <w:rFonts w:ascii="Times New Roman" w:eastAsia="Malgun Gothic" w:hAnsi="Times New Roman" w:cs="Times New Roman"/>
        </w:rPr>
        <w:t>]</w:t>
      </w:r>
      <w:r>
        <w:rPr>
          <w:rFonts w:ascii="Times New Roman" w:eastAsia="Malgun Gothic" w:hAnsi="Times New Roman" w:cs="Times New Roman" w:hint="eastAsia"/>
        </w:rPr>
        <w:t xml:space="preserve"> for </w:t>
      </w:r>
      <w:r w:rsidR="00B46264">
        <w:rPr>
          <w:rFonts w:ascii="Times New Roman" w:eastAsia="Malgun Gothic" w:hAnsi="Times New Roman" w:cs="Times New Roman" w:hint="eastAsia"/>
        </w:rPr>
        <w:t>full</w:t>
      </w:r>
      <w:bookmarkStart w:id="1" w:name="_GoBack"/>
      <w:bookmarkEnd w:id="1"/>
      <w:r>
        <w:rPr>
          <w:rFonts w:ascii="Times New Roman" w:eastAsia="Malgun Gothic" w:hAnsi="Times New Roman" w:cs="Times New Roman" w:hint="eastAsia"/>
        </w:rPr>
        <w:t xml:space="preserve"> scale channel modeling calibration, the following </w:t>
      </w:r>
      <w:r w:rsidR="00E27DD8">
        <w:rPr>
          <w:rFonts w:ascii="Times New Roman" w:eastAsia="Malgun Gothic" w:hAnsi="Times New Roman" w:cs="Times New Roman" w:hint="eastAsia"/>
        </w:rPr>
        <w:t>has been agreed</w:t>
      </w:r>
      <w:r>
        <w:rPr>
          <w:rFonts w:ascii="Times New Roman" w:eastAsia="Malgun Gothic" w:hAnsi="Times New Roman" w:cs="Times New Roman" w:hint="eastAsia"/>
        </w:rPr>
        <w:t>.</w:t>
      </w:r>
    </w:p>
    <w:p w:rsidR="005A63CD" w:rsidRDefault="005A63CD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5A63CD" w:rsidRDefault="00E27DD8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 w:rsidRPr="00E27DD8">
        <w:rPr>
          <w:rFonts w:ascii="Times New Roman" w:eastAsia="Malgun Gothic" w:hAnsi="Times New Roman" w:cs="Times New Roman" w:hint="eastAsia"/>
          <w:highlight w:val="green"/>
        </w:rPr>
        <w:t>Agreement</w:t>
      </w:r>
      <w:r w:rsidR="005A63CD">
        <w:rPr>
          <w:rFonts w:ascii="Times New Roman" w:eastAsia="Malgun Gothic" w:hAnsi="Times New Roman" w:cs="Times New Roman" w:hint="eastAsia"/>
        </w:rPr>
        <w:t>:</w:t>
      </w:r>
    </w:p>
    <w:p w:rsidR="00E27DD8" w:rsidRPr="00E27DD8" w:rsidRDefault="00E27DD8" w:rsidP="00E27DD8">
      <w:pPr>
        <w:widowControl/>
        <w:numPr>
          <w:ilvl w:val="0"/>
          <w:numId w:val="14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</w:rPr>
        <w:t>The penetration loss (between High vs. low loss) is UE specifically generated.</w:t>
      </w:r>
    </w:p>
    <w:p w:rsidR="00E27DD8" w:rsidRPr="00E27DD8" w:rsidRDefault="00E27DD8" w:rsidP="00E27DD8">
      <w:pPr>
        <w:widowControl/>
        <w:numPr>
          <w:ilvl w:val="0"/>
          <w:numId w:val="14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</w:rPr>
        <w:t>O-I penetration loss deviation generation:</w:t>
      </w:r>
    </w:p>
    <w:p w:rsidR="00E27DD8" w:rsidRPr="00E27DD8" w:rsidRDefault="00E27DD8" w:rsidP="00E27DD8">
      <w:pPr>
        <w:widowControl/>
        <w:numPr>
          <w:ilvl w:val="1"/>
          <w:numId w:val="15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</w:rPr>
        <w:t>Change the standard deviation to 4.4 and 6.5 for low loss and high loss penetration model separately</w:t>
      </w:r>
    </w:p>
    <w:p w:rsidR="00E27DD8" w:rsidRPr="00E27DD8" w:rsidRDefault="00E27DD8" w:rsidP="00E27DD8">
      <w:pPr>
        <w:widowControl/>
        <w:numPr>
          <w:ilvl w:val="1"/>
          <w:numId w:val="15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  <w:lang w:eastAsia="ja-JP"/>
        </w:rPr>
        <w:t xml:space="preserve">FFS: </w:t>
      </w:r>
      <w:r w:rsidRPr="00E27DD8">
        <w:rPr>
          <w:rFonts w:ascii="Times New Roman" w:eastAsia="SimSun" w:hAnsi="Times New Roman" w:cs="Times New Roman"/>
        </w:rPr>
        <w:t>O-I deviation is UE specific random variable.</w:t>
      </w:r>
    </w:p>
    <w:p w:rsidR="00E27DD8" w:rsidRPr="00E27DD8" w:rsidRDefault="00E27DD8" w:rsidP="00E27DD8">
      <w:pPr>
        <w:widowControl/>
        <w:numPr>
          <w:ilvl w:val="0"/>
          <w:numId w:val="14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</w:rPr>
        <w:t>ZoD offset for indoor office LOS and NLOS shall be set to 0</w:t>
      </w:r>
    </w:p>
    <w:p w:rsidR="00E27DD8" w:rsidRPr="00E27DD8" w:rsidRDefault="00E27DD8" w:rsidP="00E27DD8">
      <w:pPr>
        <w:widowControl/>
        <w:numPr>
          <w:ilvl w:val="0"/>
          <w:numId w:val="14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</w:rPr>
        <w:t>Missing parameters of UMi/UMa O2I ZoD spread and ZoD offset: reuse these parameters taken from UMi O2O and UMa O2O, respectively</w:t>
      </w:r>
    </w:p>
    <w:p w:rsidR="00E27DD8" w:rsidRPr="00E27DD8" w:rsidRDefault="00E27DD8" w:rsidP="00E27DD8">
      <w:pPr>
        <w:widowControl/>
        <w:numPr>
          <w:ilvl w:val="0"/>
          <w:numId w:val="14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</w:rPr>
        <w:t xml:space="preserve">Continue discussion on whether to take UE-specific or link-specific </w:t>
      </w:r>
      <w:r w:rsidRPr="00E27DD8">
        <w:rPr>
          <w:rFonts w:ascii="Times New Roman" w:eastAsia="SimSun" w:hAnsi="Times New Roman" w:cs="Times New Roman"/>
          <w:lang w:eastAsia="ja-JP"/>
        </w:rPr>
        <w:t xml:space="preserve">or site-specific </w:t>
      </w:r>
      <w:r w:rsidRPr="00E27DD8">
        <w:rPr>
          <w:rFonts w:ascii="Times New Roman" w:eastAsia="SimSun" w:hAnsi="Times New Roman" w:cs="Times New Roman"/>
        </w:rPr>
        <w:t>d</w:t>
      </w:r>
      <w:r w:rsidRPr="00E27DD8">
        <w:rPr>
          <w:rFonts w:ascii="Times New Roman" w:eastAsia="SimSun" w:hAnsi="Times New Roman" w:cs="Times New Roman"/>
          <w:vertAlign w:val="subscript"/>
        </w:rPr>
        <w:t>in</w:t>
      </w:r>
      <w:r w:rsidRPr="00E27DD8">
        <w:rPr>
          <w:rFonts w:ascii="Times New Roman" w:eastAsia="SimSun" w:hAnsi="Times New Roman" w:cs="Times New Roman"/>
          <w:i/>
          <w:iCs/>
          <w:vertAlign w:val="subscript"/>
        </w:rPr>
        <w:t xml:space="preserve"> </w:t>
      </w:r>
      <w:r w:rsidRPr="00E27DD8">
        <w:rPr>
          <w:rFonts w:ascii="Times New Roman" w:eastAsia="SimSun" w:hAnsi="Times New Roman" w:cs="Times New Roman"/>
        </w:rPr>
        <w:t>in Nanjing</w:t>
      </w:r>
    </w:p>
    <w:p w:rsidR="00E27DD8" w:rsidRPr="00E27DD8" w:rsidRDefault="00E27DD8" w:rsidP="00E27DD8">
      <w:pPr>
        <w:widowControl/>
        <w:numPr>
          <w:ilvl w:val="0"/>
          <w:numId w:val="14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E27DD8">
        <w:rPr>
          <w:rFonts w:ascii="Times New Roman" w:eastAsia="SimSun" w:hAnsi="Times New Roman" w:cs="Times New Roman"/>
        </w:rPr>
        <w:t>Continue discussion on the two alternatives to resolve the positive definite issues for the cross-correlation parameters</w:t>
      </w:r>
    </w:p>
    <w:p w:rsidR="00E27DD8" w:rsidRDefault="00E27DD8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976E6A" w:rsidRPr="004B35A8" w:rsidRDefault="00976E6A" w:rsidP="00976E6A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>
        <w:rPr>
          <w:rFonts w:eastAsia="Malgun Gothic" w:hint="eastAsia"/>
          <w:sz w:val="32"/>
          <w:lang w:eastAsia="ko-KR"/>
        </w:rPr>
        <w:t>Conclusion</w:t>
      </w:r>
    </w:p>
    <w:p w:rsidR="00976E6A" w:rsidRDefault="00976E6A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It is proposed to discuss further 2b, 5 and 6 in this RAN1 meeting according to the agreement. </w:t>
      </w:r>
    </w:p>
    <w:p w:rsidR="00976E6A" w:rsidRDefault="00976E6A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E27DD8" w:rsidRPr="004B35A8" w:rsidRDefault="00E27DD8" w:rsidP="00E27DD8">
      <w:pPr>
        <w:pStyle w:val="Heading1"/>
        <w:pageBreakBefore w:val="0"/>
        <w:numPr>
          <w:ilvl w:val="0"/>
          <w:numId w:val="0"/>
        </w:numPr>
        <w:kinsoku w:val="0"/>
        <w:wordWrap/>
        <w:overflowPunct w:val="0"/>
        <w:jc w:val="left"/>
        <w:rPr>
          <w:rFonts w:eastAsia="Malgun Gothic"/>
          <w:sz w:val="32"/>
        </w:rPr>
      </w:pPr>
      <w:r>
        <w:rPr>
          <w:rFonts w:eastAsia="Malgun Gothic" w:hint="eastAsia"/>
          <w:sz w:val="32"/>
          <w:lang w:eastAsia="ko-KR"/>
        </w:rPr>
        <w:t>Appendix</w:t>
      </w:r>
    </w:p>
    <w:p w:rsidR="00E27DD8" w:rsidRDefault="00E27DD8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A discussion summary used for drawing the above agreement can be found below:</w:t>
      </w:r>
    </w:p>
    <w:p w:rsidR="00E27DD8" w:rsidRPr="00E27DD8" w:rsidRDefault="00E27DD8" w:rsidP="00E27DD8">
      <w:pPr>
        <w:pStyle w:val="ListParagraph"/>
        <w:widowControl/>
        <w:numPr>
          <w:ilvl w:val="0"/>
          <w:numId w:val="16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Company’s implementation of the O-I parameters:</w:t>
      </w:r>
    </w:p>
    <w:p w:rsidR="00E27DD8" w:rsidRPr="00E27DD8" w:rsidRDefault="00E27DD8" w:rsidP="00E27DD8">
      <w:pPr>
        <w:pStyle w:val="ListParagraph"/>
        <w:widowControl/>
        <w:numPr>
          <w:ilvl w:val="1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High vs. low loss – all 17 companies (UE specific)</w:t>
      </w:r>
    </w:p>
    <w:p w:rsidR="00E27DD8" w:rsidRPr="00E27DD8" w:rsidRDefault="00E27DD8" w:rsidP="00E27DD8">
      <w:pPr>
        <w:pStyle w:val="ListParagraph"/>
        <w:widowControl/>
        <w:numPr>
          <w:ilvl w:val="1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d</w:t>
      </w:r>
      <w:r w:rsidRPr="00E27DD8">
        <w:rPr>
          <w:rFonts w:ascii="Times New Roman" w:hAnsi="Times New Roman" w:cs="Times New Roman"/>
          <w:vertAlign w:val="subscript"/>
        </w:rPr>
        <w:t>in</w:t>
      </w:r>
      <w:r w:rsidRPr="00E27DD8">
        <w:rPr>
          <w:rFonts w:ascii="Times New Roman" w:hAnsi="Times New Roman" w:cs="Times New Roman"/>
        </w:rPr>
        <w:t xml:space="preserve"> – 12 companies (UE specific); 5 companies (link specific)</w:t>
      </w:r>
    </w:p>
    <w:p w:rsidR="00E27DD8" w:rsidRPr="00E27DD8" w:rsidRDefault="00E27DD8" w:rsidP="00E27DD8">
      <w:pPr>
        <w:pStyle w:val="ListParagraph"/>
        <w:widowControl/>
        <w:numPr>
          <w:ilvl w:val="1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O-I penetration loss deviation: 3 companies (UE specific); 5 companies (link-specific); 9 (link-specific, with replacing the shadow fading term)</w:t>
      </w:r>
    </w:p>
    <w:p w:rsidR="00E27DD8" w:rsidRPr="00E27DD8" w:rsidRDefault="00E27DD8" w:rsidP="00E27DD8">
      <w:pPr>
        <w:pStyle w:val="ListParagraph"/>
        <w:widowControl/>
        <w:numPr>
          <w:ilvl w:val="0"/>
          <w:numId w:val="16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Company’s views on the O-I parameters:</w:t>
      </w:r>
    </w:p>
    <w:p w:rsidR="00E27DD8" w:rsidRPr="00E27DD8" w:rsidRDefault="00E27DD8" w:rsidP="00E27DD8">
      <w:pPr>
        <w:pStyle w:val="ListParagraph"/>
        <w:widowControl/>
        <w:numPr>
          <w:ilvl w:val="1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  <w:i/>
          <w:iCs/>
        </w:rPr>
        <w:t>d</w:t>
      </w:r>
      <w:r w:rsidRPr="00E27DD8">
        <w:rPr>
          <w:rFonts w:ascii="Times New Roman" w:hAnsi="Times New Roman" w:cs="Times New Roman"/>
          <w:vertAlign w:val="subscript"/>
        </w:rPr>
        <w:t>in</w:t>
      </w:r>
      <w:r w:rsidRPr="00E27DD8">
        <w:rPr>
          <w:rFonts w:ascii="Times New Roman" w:hAnsi="Times New Roman" w:cs="Times New Roman"/>
        </w:rPr>
        <w:t xml:space="preserve">: </w:t>
      </w:r>
    </w:p>
    <w:p w:rsidR="00E27DD8" w:rsidRPr="00E27DD8" w:rsidRDefault="00E27DD8" w:rsidP="00E27DD8">
      <w:pPr>
        <w:pStyle w:val="ListParagraph"/>
        <w:widowControl/>
        <w:numPr>
          <w:ilvl w:val="2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 xml:space="preserve">Alt 1: UE specific – supported by Nokia, Ericsson, Samsung; </w:t>
      </w:r>
    </w:p>
    <w:p w:rsidR="00E27DD8" w:rsidRPr="00E27DD8" w:rsidRDefault="00E27DD8" w:rsidP="00E27DD8">
      <w:pPr>
        <w:pStyle w:val="ListParagraph"/>
        <w:widowControl/>
        <w:numPr>
          <w:ilvl w:val="2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Alt 2: link-specific – supported by LGE, Straightpath</w:t>
      </w:r>
    </w:p>
    <w:p w:rsidR="00E27DD8" w:rsidRPr="00E27DD8" w:rsidRDefault="00E27DD8" w:rsidP="00E27DD8">
      <w:pPr>
        <w:pStyle w:val="ListParagraph"/>
        <w:widowControl/>
        <w:numPr>
          <w:ilvl w:val="1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O-I penetration loss deviation … the proposal by Nokia was supported by Ericsson and Samsung</w:t>
      </w:r>
    </w:p>
    <w:p w:rsidR="00E27DD8" w:rsidRPr="00E27DD8" w:rsidRDefault="00E27DD8" w:rsidP="00E27DD8">
      <w:pPr>
        <w:pStyle w:val="ListParagraph"/>
        <w:widowControl/>
        <w:numPr>
          <w:ilvl w:val="2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Change the standard deviation to 4.4 and 6.5 for low loss and high loss penetration model separately (see below table from R1-163256)</w:t>
      </w:r>
    </w:p>
    <w:p w:rsidR="00E27DD8" w:rsidRPr="00E27DD8" w:rsidRDefault="00E27DD8" w:rsidP="00E27DD8">
      <w:pPr>
        <w:pStyle w:val="ListParagraph"/>
        <w:widowControl/>
        <w:numPr>
          <w:ilvl w:val="2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>O-I deviation is UE specific random variable.</w:t>
      </w:r>
      <w:r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>…</w:t>
      </w:r>
      <w:r>
        <w:rPr>
          <w:rFonts w:ascii="Times New Roman" w:eastAsia="Malgun Gothic" w:hAnsi="Times New Roman" w:cs="Times New Roman" w:hint="eastAsia"/>
        </w:rPr>
        <w:t xml:space="preserve"> This option was disputed by LGE.</w:t>
      </w:r>
    </w:p>
    <w:p w:rsidR="00E27DD8" w:rsidRPr="00E27DD8" w:rsidRDefault="00E27DD8" w:rsidP="00E27DD8">
      <w:pPr>
        <w:pStyle w:val="ListParagraph"/>
        <w:widowControl/>
        <w:numPr>
          <w:ilvl w:val="0"/>
          <w:numId w:val="16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</w:rPr>
      </w:pPr>
      <w:r w:rsidRPr="00E27DD8">
        <w:rPr>
          <w:rFonts w:ascii="Times New Roman" w:hAnsi="Times New Roman" w:cs="Times New Roman"/>
        </w:rPr>
        <w:t xml:space="preserve">ZoD offset for indoor office LOS and NLOS shall be set to 0 … proposed by Huawei and supported by Xianwei; </w:t>
      </w:r>
    </w:p>
    <w:p w:rsidR="00E27DD8" w:rsidRPr="00E27DD8" w:rsidRDefault="00E27DD8" w:rsidP="00E27DD8">
      <w:pPr>
        <w:pStyle w:val="ListParagraph"/>
        <w:widowControl/>
        <w:numPr>
          <w:ilvl w:val="0"/>
          <w:numId w:val="16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  <w:sz w:val="22"/>
          <w:szCs w:val="24"/>
        </w:rPr>
      </w:pPr>
      <w:r w:rsidRPr="00E27DD8">
        <w:rPr>
          <w:rFonts w:ascii="Times New Roman" w:hAnsi="Times New Roman" w:cs="Times New Roman"/>
        </w:rPr>
        <w:t xml:space="preserve">Missing parameters of UMi/UMa O2I ZoD spread and ZoD offset: reuse these parameters taken from UMi O2O and UMa O2O, respectively … proposed by Samsung, supported by Xinwei </w:t>
      </w:r>
    </w:p>
    <w:p w:rsidR="00E27DD8" w:rsidRPr="00E27DD8" w:rsidRDefault="00E27DD8" w:rsidP="00E27DD8">
      <w:pPr>
        <w:pStyle w:val="ListParagraph"/>
        <w:widowControl/>
        <w:numPr>
          <w:ilvl w:val="0"/>
          <w:numId w:val="16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  <w:sz w:val="18"/>
        </w:rPr>
      </w:pPr>
      <w:r w:rsidRPr="00E27DD8">
        <w:rPr>
          <w:rFonts w:ascii="Times New Roman" w:hAnsi="Times New Roman" w:cs="Times New Roman"/>
        </w:rPr>
        <w:t>Solutions to resolve the positive definite issue:</w:t>
      </w:r>
    </w:p>
    <w:p w:rsidR="00E27DD8" w:rsidRPr="00E27DD8" w:rsidRDefault="00E27DD8" w:rsidP="00E27DD8">
      <w:pPr>
        <w:pStyle w:val="ListParagraph"/>
        <w:widowControl/>
        <w:numPr>
          <w:ilvl w:val="1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  <w:sz w:val="18"/>
        </w:rPr>
      </w:pPr>
      <w:r w:rsidRPr="00E27DD8">
        <w:rPr>
          <w:rFonts w:ascii="Times New Roman" w:hAnsi="Times New Roman" w:cs="Times New Roman"/>
        </w:rPr>
        <w:t>Alt 1: A table from Ericsson … supported by Samsung and Nokia</w:t>
      </w:r>
    </w:p>
    <w:p w:rsidR="00E27DD8" w:rsidRPr="00E27DD8" w:rsidRDefault="00E27DD8" w:rsidP="00E27DD8">
      <w:pPr>
        <w:pStyle w:val="ListParagraph"/>
        <w:widowControl/>
        <w:numPr>
          <w:ilvl w:val="1"/>
          <w:numId w:val="15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hAnsi="Times New Roman" w:cs="Times New Roman"/>
          <w:sz w:val="18"/>
        </w:rPr>
      </w:pPr>
      <w:r w:rsidRPr="00E27DD8">
        <w:rPr>
          <w:rFonts w:ascii="Times New Roman" w:hAnsi="Times New Roman" w:cs="Times New Roman"/>
        </w:rPr>
        <w:lastRenderedPageBreak/>
        <w:t>Alt 2: A table from Xinwei</w:t>
      </w:r>
    </w:p>
    <w:p w:rsidR="00E27DD8" w:rsidRDefault="00E27DD8" w:rsidP="00E27DD8">
      <w:pPr>
        <w:rPr>
          <w:rFonts w:eastAsia="Malgun Gothic"/>
          <w:color w:val="1F497D"/>
        </w:rPr>
      </w:pPr>
    </w:p>
    <w:p w:rsidR="00E27DD8" w:rsidRDefault="00E27DD8" w:rsidP="00E27DD8">
      <w:pPr>
        <w:jc w:val="center"/>
      </w:pPr>
      <w:r>
        <w:rPr>
          <w:rFonts w:ascii="Arial" w:eastAsia="Malgun Gothic" w:hAnsi="Arial" w:cs="Arial" w:hint="eastAsia"/>
          <w:b/>
          <w:bCs/>
          <w:sz w:val="15"/>
          <w:szCs w:val="15"/>
        </w:rPr>
        <w:t>Alt 1</w:t>
      </w:r>
      <w:r>
        <w:rPr>
          <w:rFonts w:ascii="Arial" w:hAnsi="Arial" w:cs="Arial"/>
          <w:b/>
          <w:bCs/>
          <w:sz w:val="15"/>
          <w:szCs w:val="15"/>
        </w:rPr>
        <w:t>: revised cross-correlation parameters</w:t>
      </w:r>
    </w:p>
    <w:tbl>
      <w:tblPr>
        <w:tblW w:w="3105" w:type="dxa"/>
        <w:jc w:val="center"/>
        <w:tblLook w:val="04A0" w:firstRow="1" w:lastRow="0" w:firstColumn="1" w:lastColumn="0" w:noHBand="0" w:noVBand="1"/>
      </w:tblPr>
      <w:tblGrid>
        <w:gridCol w:w="1683"/>
        <w:gridCol w:w="687"/>
        <w:gridCol w:w="735"/>
      </w:tblGrid>
      <w:tr w:rsidR="00E27DD8" w:rsidTr="00E27DD8">
        <w:trPr>
          <w:trHeight w:val="120"/>
          <w:jc w:val="center"/>
        </w:trPr>
        <w:tc>
          <w:tcPr>
            <w:tcW w:w="30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UMi / UMa O2I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 xml:space="preserve">Cross-Correlations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0.4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0.53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  <w:r>
              <w:rPr>
                <w:rFonts w:hint="eastAsia"/>
                <w:sz w:val="15"/>
                <w:szCs w:val="15"/>
              </w:rPr>
              <w:t xml:space="preserve">  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-0.5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  <w:vertAlign w:val="subscript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 xml:space="preserve">vs </w:t>
            </w: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 xml:space="preserve">Cross-Correlations </w:t>
            </w:r>
            <w:r>
              <w:rPr>
                <w:rFonts w:hint="eastAsia"/>
                <w:sz w:val="15"/>
                <w:szCs w:val="15"/>
                <w:vertAlign w:val="superscript"/>
              </w:rPr>
              <w:t>1)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0.4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K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K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  <w:vertAlign w:val="subscript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 xml:space="preserve">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-0.53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0.42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</w:tbl>
    <w:p w:rsidR="00E27DD8" w:rsidRPr="00E27DD8" w:rsidRDefault="00E27DD8" w:rsidP="00E27DD8">
      <w:pPr>
        <w:rPr>
          <w:rFonts w:eastAsia="Malgun Gothic"/>
          <w:color w:val="1F497D"/>
        </w:rPr>
      </w:pPr>
    </w:p>
    <w:p w:rsidR="00E27DD8" w:rsidRDefault="00E27DD8" w:rsidP="00E27DD8">
      <w:pPr>
        <w:jc w:val="center"/>
      </w:pPr>
      <w:r>
        <w:rPr>
          <w:rFonts w:ascii="Arial" w:eastAsia="Malgun Gothic" w:hAnsi="Arial" w:cs="Arial" w:hint="eastAsia"/>
          <w:b/>
          <w:bCs/>
          <w:sz w:val="15"/>
          <w:szCs w:val="15"/>
        </w:rPr>
        <w:t xml:space="preserve">Alt 2: </w:t>
      </w:r>
      <w:r>
        <w:rPr>
          <w:rFonts w:ascii="Arial" w:hAnsi="Arial" w:cs="Arial"/>
          <w:b/>
          <w:bCs/>
          <w:sz w:val="15"/>
          <w:szCs w:val="15"/>
        </w:rPr>
        <w:t>Revised cross-correlation parameters from Xinwei</w:t>
      </w:r>
    </w:p>
    <w:tbl>
      <w:tblPr>
        <w:tblW w:w="3120" w:type="dxa"/>
        <w:jc w:val="center"/>
        <w:tblLook w:val="04A0" w:firstRow="1" w:lastRow="0" w:firstColumn="1" w:lastColumn="0" w:noHBand="0" w:noVBand="1"/>
      </w:tblPr>
      <w:tblGrid>
        <w:gridCol w:w="1693"/>
        <w:gridCol w:w="687"/>
        <w:gridCol w:w="740"/>
      </w:tblGrid>
      <w:tr w:rsidR="00E27DD8" w:rsidTr="00E27DD8">
        <w:trPr>
          <w:trHeight w:val="120"/>
          <w:jc w:val="center"/>
        </w:trPr>
        <w:tc>
          <w:tcPr>
            <w:tcW w:w="3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UMi / UMa O2I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 xml:space="preserve">Cross-Correlations 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0.4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0.53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0.2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  <w:r>
              <w:rPr>
                <w:rFonts w:hint="eastAsia"/>
                <w:sz w:val="15"/>
                <w:szCs w:val="15"/>
              </w:rPr>
              <w:t xml:space="preserve">  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-0.5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  <w:vertAlign w:val="subscript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 xml:space="preserve">vs </w:t>
            </w: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ascii="Symbol" w:hAnsi="Symbol"/>
                <w:i/>
                <w:iCs/>
                <w:sz w:val="15"/>
                <w:szCs w:val="15"/>
              </w:rPr>
              <w:t>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 xml:space="preserve">Cross-Correlations </w:t>
            </w:r>
            <w:r>
              <w:rPr>
                <w:rFonts w:hint="eastAsia"/>
                <w:sz w:val="15"/>
                <w:szCs w:val="15"/>
                <w:vertAlign w:val="superscript"/>
              </w:rPr>
              <w:t>1)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-0.15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SF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0.4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K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K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N/A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0.01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  <w:vertAlign w:val="subscript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 xml:space="preserve">vs </w:t>
            </w:r>
            <w:r>
              <w:rPr>
                <w:rFonts w:hint="eastAsia"/>
                <w:i/>
                <w:iCs/>
                <w:sz w:val="15"/>
                <w:szCs w:val="15"/>
              </w:rPr>
              <w:t>DS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-0.53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0.42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-0.21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ASA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11F12"/>
                <w:sz w:val="15"/>
                <w:szCs w:val="15"/>
              </w:rPr>
              <w:t>0</w:t>
            </w:r>
          </w:p>
        </w:tc>
      </w:tr>
      <w:tr w:rsidR="00E27DD8" w:rsidTr="00E27DD8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7DD8" w:rsidRDefault="00E27DD8">
            <w:pPr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</w:rPr>
              <w:t>ZSD</w:t>
            </w:r>
            <w:r>
              <w:rPr>
                <w:rFonts w:hint="eastAsia"/>
                <w:sz w:val="15"/>
                <w:szCs w:val="15"/>
              </w:rPr>
              <w:t xml:space="preserve"> vs </w:t>
            </w:r>
            <w:r>
              <w:rPr>
                <w:rFonts w:hint="eastAsia"/>
                <w:i/>
                <w:iCs/>
                <w:sz w:val="15"/>
                <w:szCs w:val="15"/>
              </w:rPr>
              <w:t>ZSA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DD8" w:rsidRDefault="00E27DD8">
            <w:pPr>
              <w:spacing w:line="120" w:lineRule="atLeast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>0.38</w:t>
            </w:r>
          </w:p>
        </w:tc>
      </w:tr>
    </w:tbl>
    <w:p w:rsidR="00E27DD8" w:rsidRDefault="00E27DD8" w:rsidP="00E27DD8">
      <w:pPr>
        <w:rPr>
          <w:color w:val="1F497D"/>
        </w:rPr>
      </w:pPr>
    </w:p>
    <w:sectPr w:rsidR="00E27DD8" w:rsidSect="009B7EE1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5DC" w:rsidRPr="00600391" w:rsidRDefault="009D45DC" w:rsidP="005A495F">
      <w:pPr>
        <w:rPr>
          <w:rFonts w:eastAsia="Malgun Gothic" w:cs="Times New Roman"/>
          <w:kern w:val="2"/>
        </w:rPr>
      </w:pPr>
      <w:r>
        <w:separator/>
      </w:r>
    </w:p>
    <w:p w:rsidR="009D45DC" w:rsidRDefault="009D45DC" w:rsidP="005A495F"/>
  </w:endnote>
  <w:endnote w:type="continuationSeparator" w:id="0">
    <w:p w:rsidR="009D45DC" w:rsidRPr="00600391" w:rsidRDefault="009D45DC" w:rsidP="005A495F">
      <w:pPr>
        <w:rPr>
          <w:rFonts w:eastAsia="Malgun Gothic" w:cs="Times New Roman"/>
          <w:kern w:val="2"/>
        </w:rPr>
      </w:pPr>
      <w:r>
        <w:continuationSeparator/>
      </w:r>
    </w:p>
    <w:p w:rsidR="009D45DC" w:rsidRDefault="009D45DC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5DC" w:rsidRPr="00600391" w:rsidRDefault="009D45DC" w:rsidP="005A495F">
      <w:pPr>
        <w:rPr>
          <w:rFonts w:eastAsia="Malgun Gothic" w:cs="Times New Roman"/>
          <w:kern w:val="2"/>
        </w:rPr>
      </w:pPr>
      <w:r>
        <w:separator/>
      </w:r>
    </w:p>
    <w:p w:rsidR="009D45DC" w:rsidRDefault="009D45DC" w:rsidP="005A495F"/>
  </w:footnote>
  <w:footnote w:type="continuationSeparator" w:id="0">
    <w:p w:rsidR="009D45DC" w:rsidRPr="00600391" w:rsidRDefault="009D45DC" w:rsidP="005A495F">
      <w:pPr>
        <w:rPr>
          <w:rFonts w:eastAsia="Malgun Gothic" w:cs="Times New Roman"/>
          <w:kern w:val="2"/>
        </w:rPr>
      </w:pPr>
      <w:r>
        <w:continuationSeparator/>
      </w:r>
    </w:p>
    <w:p w:rsidR="009D45DC" w:rsidRDefault="009D45DC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B2A2C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D3C49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316515"/>
    <w:multiLevelType w:val="hybridMultilevel"/>
    <w:tmpl w:val="F000C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0"/>
  </w:num>
  <w:num w:numId="5">
    <w:abstractNumId w:val="6"/>
  </w:num>
  <w:num w:numId="6">
    <w:abstractNumId w:val="9"/>
  </w:num>
  <w:num w:numId="7">
    <w:abstractNumId w:val="9"/>
  </w:num>
  <w:num w:numId="8">
    <w:abstractNumId w:val="1"/>
  </w:num>
  <w:num w:numId="9">
    <w:abstractNumId w:val="3"/>
  </w:num>
  <w:num w:numId="10">
    <w:abstractNumId w:val="9"/>
  </w:num>
  <w:num w:numId="11">
    <w:abstractNumId w:val="9"/>
  </w:num>
  <w:num w:numId="12">
    <w:abstractNumId w:val="4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3A5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6E6A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5DC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264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27DD8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45D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8B31E-7F40-48A2-80FA-B04134C7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3</cp:revision>
  <cp:lastPrinted>2015-09-08T16:53:00Z</cp:lastPrinted>
  <dcterms:created xsi:type="dcterms:W3CDTF">2016-05-20T01:16:00Z</dcterms:created>
  <dcterms:modified xsi:type="dcterms:W3CDTF">2016-05-20T01:19:00Z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